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BAD" w:rsidRPr="006F0A0C" w:rsidRDefault="00B85D93">
      <w:pPr>
        <w:spacing w:after="0"/>
        <w:jc w:val="center"/>
        <w:rPr>
          <w:sz w:val="12"/>
          <w:szCs w:val="12"/>
        </w:rPr>
      </w:pPr>
      <w:r>
        <w:rPr>
          <w:rFonts w:ascii="Bookman Old Style" w:hAnsi="Bookman Old Style" w:cs="Bookman Old Style"/>
          <w:sz w:val="28"/>
          <w:szCs w:val="28"/>
        </w:rPr>
        <w:t xml:space="preserve">Městys Žinkovy pořádá </w:t>
      </w:r>
    </w:p>
    <w:p w:rsidR="00204BAD" w:rsidRDefault="00204BAD">
      <w:pPr>
        <w:spacing w:after="0"/>
        <w:jc w:val="center"/>
      </w:pPr>
      <w:r>
        <w:rPr>
          <w:rFonts w:ascii="Bookman Old Style" w:hAnsi="Bookman Old Style" w:cs="Bookman Old Style"/>
          <w:b/>
          <w:color w:val="FF0000"/>
          <w:sz w:val="72"/>
          <w:szCs w:val="72"/>
        </w:rPr>
        <w:t xml:space="preserve">SVOZ </w:t>
      </w:r>
    </w:p>
    <w:p w:rsidR="00204BAD" w:rsidRDefault="00204BAD">
      <w:pPr>
        <w:spacing w:after="0"/>
        <w:jc w:val="center"/>
      </w:pPr>
      <w:r>
        <w:rPr>
          <w:rFonts w:ascii="Bookman Old Style" w:hAnsi="Bookman Old Style" w:cs="Bookman Old Style"/>
          <w:b/>
          <w:color w:val="FF0000"/>
          <w:sz w:val="72"/>
          <w:szCs w:val="72"/>
        </w:rPr>
        <w:t xml:space="preserve">NEBEZPEČNÝCH ODPADŮ </w:t>
      </w:r>
    </w:p>
    <w:p w:rsidR="00204BAD" w:rsidRPr="006F0A0C" w:rsidRDefault="00204BAD">
      <w:pPr>
        <w:spacing w:after="0"/>
        <w:jc w:val="center"/>
        <w:rPr>
          <w:sz w:val="12"/>
          <w:szCs w:val="12"/>
        </w:rPr>
      </w:pPr>
    </w:p>
    <w:p w:rsidR="00204BAD" w:rsidRPr="006F0A0C" w:rsidRDefault="00204BAD">
      <w:pPr>
        <w:spacing w:after="0"/>
        <w:jc w:val="center"/>
        <w:rPr>
          <w:b/>
        </w:rPr>
      </w:pPr>
      <w:r w:rsidRPr="006F0A0C">
        <w:rPr>
          <w:rFonts w:ascii="Bookman Old Style" w:hAnsi="Bookman Old Style" w:cs="Bookman Old Style"/>
          <w:b/>
          <w:sz w:val="28"/>
          <w:szCs w:val="28"/>
        </w:rPr>
        <w:t xml:space="preserve">Odpady je možné ukládat na sběrné místo, </w:t>
      </w:r>
    </w:p>
    <w:p w:rsidR="00B85D93" w:rsidRPr="006F0A0C" w:rsidRDefault="00204BAD">
      <w:pPr>
        <w:spacing w:after="0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6F0A0C">
        <w:rPr>
          <w:rFonts w:ascii="Bookman Old Style" w:hAnsi="Bookman Old Style" w:cs="Bookman Old Style"/>
          <w:b/>
          <w:sz w:val="28"/>
          <w:szCs w:val="28"/>
        </w:rPr>
        <w:t>kterým je</w:t>
      </w:r>
      <w:r w:rsidR="00B85D93" w:rsidRPr="006F0A0C">
        <w:rPr>
          <w:rFonts w:ascii="Bookman Old Style" w:hAnsi="Bookman Old Style" w:cs="Bookman Old Style"/>
          <w:b/>
          <w:sz w:val="28"/>
          <w:szCs w:val="28"/>
        </w:rPr>
        <w:t xml:space="preserve"> pro tento svoz</w:t>
      </w:r>
      <w:r w:rsidRPr="006F0A0C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B85D93" w:rsidRPr="006F0A0C">
        <w:rPr>
          <w:rFonts w:ascii="Bookman Old Style" w:hAnsi="Bookman Old Style" w:cs="Bookman Old Style"/>
          <w:b/>
          <w:sz w:val="28"/>
          <w:szCs w:val="28"/>
        </w:rPr>
        <w:t xml:space="preserve">pro všechny obce patřící k městysi Žinkovy </w:t>
      </w:r>
    </w:p>
    <w:p w:rsidR="00204BAD" w:rsidRPr="006F0A0C" w:rsidRDefault="00204BAD">
      <w:pPr>
        <w:spacing w:after="0"/>
        <w:jc w:val="center"/>
        <w:rPr>
          <w:b/>
        </w:rPr>
      </w:pPr>
      <w:r w:rsidRPr="006F0A0C">
        <w:rPr>
          <w:rFonts w:ascii="Bookman Old Style" w:hAnsi="Bookman Old Style" w:cs="Bookman Old Style"/>
          <w:b/>
          <w:sz w:val="28"/>
          <w:szCs w:val="28"/>
        </w:rPr>
        <w:t>stanoveno</w:t>
      </w:r>
      <w:r w:rsidR="00B85D93" w:rsidRPr="006F0A0C">
        <w:rPr>
          <w:rFonts w:ascii="Bookman Old Style" w:hAnsi="Bookman Old Style" w:cs="Bookman Old Style"/>
          <w:b/>
          <w:sz w:val="28"/>
          <w:szCs w:val="28"/>
        </w:rPr>
        <w:t xml:space="preserve"> pouze:</w:t>
      </w:r>
    </w:p>
    <w:p w:rsidR="00204BAD" w:rsidRPr="006F0A0C" w:rsidRDefault="00204BAD">
      <w:pPr>
        <w:spacing w:after="0"/>
        <w:jc w:val="center"/>
        <w:rPr>
          <w:rFonts w:ascii="Bookman Old Style" w:hAnsi="Bookman Old Style" w:cs="Bookman Old Style"/>
          <w:sz w:val="12"/>
          <w:szCs w:val="12"/>
        </w:rPr>
      </w:pPr>
    </w:p>
    <w:p w:rsidR="00204BAD" w:rsidRPr="006F0A0C" w:rsidRDefault="00204BAD" w:rsidP="00B109D8">
      <w:pPr>
        <w:spacing w:after="0"/>
        <w:jc w:val="center"/>
        <w:rPr>
          <w:rFonts w:ascii="Bookman Old Style" w:hAnsi="Bookman Old Style" w:cs="Bookman Old Style"/>
          <w:b/>
          <w:color w:val="FF0000"/>
          <w:sz w:val="56"/>
          <w:szCs w:val="56"/>
        </w:rPr>
      </w:pPr>
      <w:r w:rsidRPr="006F0A0C">
        <w:rPr>
          <w:rFonts w:ascii="Bookman Old Style" w:hAnsi="Bookman Old Style" w:cs="Bookman Old Style"/>
          <w:b/>
          <w:color w:val="FF0000"/>
          <w:sz w:val="56"/>
          <w:szCs w:val="56"/>
        </w:rPr>
        <w:t>ŽINKOVY – u bývalé mateřské školy</w:t>
      </w:r>
    </w:p>
    <w:p w:rsidR="00204BAD" w:rsidRPr="00874C58" w:rsidRDefault="00204BAD" w:rsidP="00B109D8">
      <w:pPr>
        <w:spacing w:after="0"/>
        <w:jc w:val="center"/>
        <w:rPr>
          <w:sz w:val="12"/>
          <w:szCs w:val="12"/>
        </w:rPr>
      </w:pPr>
    </w:p>
    <w:p w:rsidR="00204BAD" w:rsidRPr="006F0A0C" w:rsidRDefault="00B85D93" w:rsidP="00B109D8">
      <w:pPr>
        <w:spacing w:after="0"/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  <w:r w:rsidRPr="006F0A0C">
        <w:rPr>
          <w:rFonts w:ascii="Bookman Old Style" w:hAnsi="Bookman Old Style" w:cs="Bookman Old Style"/>
          <w:b/>
          <w:bCs/>
          <w:sz w:val="44"/>
          <w:szCs w:val="44"/>
        </w:rPr>
        <w:t>ve dnech</w:t>
      </w:r>
    </w:p>
    <w:p w:rsidR="00B85D93" w:rsidRPr="006F0A0C" w:rsidRDefault="00B85D93" w:rsidP="00B109D8">
      <w:pPr>
        <w:spacing w:after="0"/>
        <w:jc w:val="center"/>
        <w:rPr>
          <w:rFonts w:ascii="Bookman Old Style" w:hAnsi="Bookman Old Style" w:cs="Bookman Old Style"/>
          <w:b/>
          <w:bCs/>
          <w:color w:val="FF0000"/>
          <w:sz w:val="12"/>
          <w:szCs w:val="12"/>
          <w:u w:val="single"/>
        </w:rPr>
      </w:pPr>
    </w:p>
    <w:p w:rsidR="00B85D93" w:rsidRPr="006F0A0C" w:rsidRDefault="00B85D93" w:rsidP="006F0A0C">
      <w:pPr>
        <w:spacing w:after="0"/>
        <w:rPr>
          <w:rFonts w:ascii="Bookman Old Style" w:hAnsi="Bookman Old Style" w:cs="Bookman Old Style"/>
          <w:b/>
          <w:bCs/>
          <w:sz w:val="44"/>
          <w:szCs w:val="44"/>
          <w:u w:val="single"/>
        </w:rPr>
      </w:pPr>
      <w:proofErr w:type="gramStart"/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pátek </w:t>
      </w:r>
      <w:r w:rsidR="00D6721E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</w:t>
      </w:r>
      <w:r w:rsidR="00D6721E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22</w:t>
      </w:r>
      <w:proofErr w:type="gramEnd"/>
      <w:r w:rsidR="00D6721E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. 04. 2022</w:t>
      </w:r>
      <w:r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    </w:t>
      </w: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od   </w:t>
      </w:r>
      <w:r w:rsidR="00304D98"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13:00</w:t>
      </w:r>
      <w:r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 </w:t>
      </w: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>do</w:t>
      </w:r>
      <w:r w:rsidR="006F0A0C"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</w:t>
      </w:r>
      <w:r w:rsidR="00304D98"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17:00 </w:t>
      </w:r>
      <w:r w:rsidR="00304D98">
        <w:rPr>
          <w:rFonts w:ascii="Bookman Old Style" w:hAnsi="Bookman Old Style" w:cs="Bookman Old Style"/>
          <w:b/>
          <w:bCs/>
          <w:sz w:val="44"/>
          <w:szCs w:val="44"/>
          <w:u w:val="single"/>
        </w:rPr>
        <w:t>h.</w:t>
      </w:r>
      <w:r w:rsid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</w:t>
      </w:r>
      <w:r w:rsidR="006F0A0C"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 </w:t>
      </w:r>
      <w:r w:rsid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  </w:t>
      </w:r>
      <w:r w:rsidR="006F0A0C"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</w:t>
      </w:r>
    </w:p>
    <w:p w:rsidR="00B85D93" w:rsidRPr="006F0A0C" w:rsidRDefault="00B85D93" w:rsidP="006F0A0C">
      <w:pPr>
        <w:spacing w:after="0"/>
        <w:rPr>
          <w:rFonts w:ascii="Bookman Old Style" w:hAnsi="Bookman Old Style" w:cs="Bookman Old Style"/>
          <w:b/>
          <w:bCs/>
          <w:sz w:val="44"/>
          <w:szCs w:val="44"/>
          <w:u w:val="single"/>
        </w:rPr>
      </w:pP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sobota </w:t>
      </w:r>
      <w:r w:rsidR="00D6721E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23. 04. </w:t>
      </w:r>
      <w:proofErr w:type="gramStart"/>
      <w:r w:rsidR="00D6721E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2022</w:t>
      </w:r>
      <w:r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   </w:t>
      </w: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>od</w:t>
      </w:r>
      <w:proofErr w:type="gramEnd"/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 </w:t>
      </w:r>
      <w:r w:rsidR="00304D98"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9:00</w:t>
      </w:r>
      <w:r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  </w:t>
      </w: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>do</w:t>
      </w:r>
      <w:r w:rsidR="006F0A0C"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</w:t>
      </w:r>
      <w:r w:rsidR="00304D98"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15:00 </w:t>
      </w:r>
      <w:r w:rsidR="00304D98">
        <w:rPr>
          <w:rFonts w:ascii="Bookman Old Style" w:hAnsi="Bookman Old Style" w:cs="Bookman Old Style"/>
          <w:b/>
          <w:bCs/>
          <w:sz w:val="44"/>
          <w:szCs w:val="44"/>
          <w:u w:val="single"/>
        </w:rPr>
        <w:t>h.</w:t>
      </w:r>
      <w:r w:rsidR="006F0A0C"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</w:t>
      </w:r>
      <w:r w:rsid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    </w:t>
      </w:r>
      <w:r w:rsidR="006F0A0C"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   </w:t>
      </w:r>
    </w:p>
    <w:p w:rsidR="006F0A0C" w:rsidRDefault="006F0A0C" w:rsidP="006F0A0C">
      <w:pPr>
        <w:spacing w:after="0"/>
        <w:rPr>
          <w:rFonts w:ascii="Bookman Old Style" w:hAnsi="Bookman Old Style" w:cs="Bookman Old Style"/>
          <w:b/>
          <w:bCs/>
          <w:sz w:val="44"/>
          <w:szCs w:val="44"/>
          <w:u w:val="single"/>
        </w:rPr>
      </w:pP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neděle </w:t>
      </w:r>
      <w:r w:rsidR="00D6721E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24. 04. </w:t>
      </w:r>
      <w:proofErr w:type="gramStart"/>
      <w:r w:rsidR="00D6721E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2022</w:t>
      </w:r>
      <w:r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   </w:t>
      </w: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>od</w:t>
      </w:r>
      <w:proofErr w:type="gramEnd"/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 </w:t>
      </w:r>
      <w:r w:rsidR="00304D98"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9:00</w:t>
      </w:r>
      <w:r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  </w:t>
      </w: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do  </w:t>
      </w:r>
      <w:r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</w:t>
      </w:r>
      <w:r w:rsidR="00304D98" w:rsidRPr="005035EB"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 xml:space="preserve">15:00 </w:t>
      </w:r>
      <w:r w:rsidR="00304D98">
        <w:rPr>
          <w:rFonts w:ascii="Bookman Old Style" w:hAnsi="Bookman Old Style" w:cs="Bookman Old Style"/>
          <w:b/>
          <w:bCs/>
          <w:sz w:val="44"/>
          <w:szCs w:val="44"/>
          <w:u w:val="single"/>
        </w:rPr>
        <w:t>h.</w:t>
      </w:r>
      <w:r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  </w:t>
      </w: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   </w:t>
      </w:r>
      <w:r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 </w:t>
      </w:r>
      <w:r w:rsidRPr="006F0A0C">
        <w:rPr>
          <w:rFonts w:ascii="Bookman Old Style" w:hAnsi="Bookman Old Style" w:cs="Bookman Old Style"/>
          <w:b/>
          <w:bCs/>
          <w:sz w:val="44"/>
          <w:szCs w:val="44"/>
          <w:u w:val="single"/>
        </w:rPr>
        <w:t xml:space="preserve"> </w:t>
      </w:r>
    </w:p>
    <w:p w:rsidR="006F0A0C" w:rsidRPr="006F0A0C" w:rsidRDefault="006F0A0C" w:rsidP="006F0A0C">
      <w:pPr>
        <w:spacing w:after="0"/>
        <w:rPr>
          <w:rFonts w:ascii="Bookman Old Style" w:hAnsi="Bookman Old Style" w:cs="Bookman Old Style"/>
          <w:b/>
          <w:bCs/>
          <w:sz w:val="12"/>
          <w:szCs w:val="12"/>
          <w:u w:val="single"/>
        </w:rPr>
      </w:pPr>
    </w:p>
    <w:p w:rsidR="006F0A0C" w:rsidRDefault="006F0A0C" w:rsidP="00B85D93">
      <w:pPr>
        <w:spacing w:after="0"/>
        <w:jc w:val="center"/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</w:pPr>
      <w:r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V jiných dnech a časech bude areál uzavřený.</w:t>
      </w:r>
    </w:p>
    <w:p w:rsidR="006F0A0C" w:rsidRDefault="006F0A0C" w:rsidP="00B85D93">
      <w:pPr>
        <w:spacing w:after="0"/>
        <w:jc w:val="center"/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</w:pPr>
      <w:r>
        <w:rPr>
          <w:rFonts w:ascii="Bookman Old Style" w:hAnsi="Bookman Old Style" w:cs="Bookman Old Style"/>
          <w:b/>
          <w:bCs/>
          <w:color w:val="FF0000"/>
          <w:sz w:val="44"/>
          <w:szCs w:val="44"/>
          <w:u w:val="single"/>
        </w:rPr>
        <w:t>Na ukládání odpadu bude dohlížet zodpovědná osoba, která umožní uložit výhradně následující druhy odpadů:</w:t>
      </w:r>
    </w:p>
    <w:p w:rsidR="00CE71C3" w:rsidRPr="00CE71C3" w:rsidRDefault="00CE71C3" w:rsidP="00B85D93">
      <w:pPr>
        <w:spacing w:after="0"/>
        <w:jc w:val="center"/>
        <w:rPr>
          <w:rFonts w:ascii="Bookman Old Style" w:hAnsi="Bookman Old Style" w:cs="Bookman Old Style"/>
          <w:b/>
          <w:bCs/>
          <w:color w:val="FF0000"/>
          <w:sz w:val="12"/>
          <w:szCs w:val="12"/>
          <w:u w:val="single"/>
        </w:rPr>
      </w:pPr>
    </w:p>
    <w:p w:rsidR="00204BAD" w:rsidRDefault="00204BAD">
      <w:pPr>
        <w:numPr>
          <w:ilvl w:val="0"/>
          <w:numId w:val="2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 xml:space="preserve">Oleje v uzavřených nádobách </w:t>
      </w:r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 xml:space="preserve">(hydraulické, motorové, převodové atp.) </w:t>
      </w:r>
    </w:p>
    <w:p w:rsidR="00204BAD" w:rsidRDefault="00204BAD">
      <w:pPr>
        <w:numPr>
          <w:ilvl w:val="0"/>
          <w:numId w:val="2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 xml:space="preserve">Olejové filtry, čistící tkaniny a ochranné oděvy znečištěné nebezpečnými látkami </w:t>
      </w:r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>(absorpční činidla, filtrační materiály)</w:t>
      </w:r>
    </w:p>
    <w:p w:rsidR="00204BAD" w:rsidRDefault="00204BAD">
      <w:pPr>
        <w:numPr>
          <w:ilvl w:val="0"/>
          <w:numId w:val="2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 xml:space="preserve">Chemikálie, </w:t>
      </w:r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>které jsou nebo obsahují nebezpečné látky, např. rozpouštědla, kyseliny, zásady, fotochemikálie, pesticidy</w:t>
      </w:r>
    </w:p>
    <w:p w:rsidR="00204BAD" w:rsidRDefault="00204BAD">
      <w:pPr>
        <w:numPr>
          <w:ilvl w:val="0"/>
          <w:numId w:val="3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>Barvy, tiskařské barvy, lepidla a pryskyřice obsahující nebezpečné látky</w:t>
      </w:r>
    </w:p>
    <w:p w:rsidR="00204BAD" w:rsidRDefault="00204BAD">
      <w:pPr>
        <w:numPr>
          <w:ilvl w:val="0"/>
          <w:numId w:val="3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>Obaly obsahující zbytky nebezpečných látek nebo obaly těmito látkami</w:t>
      </w:r>
    </w:p>
    <w:p w:rsidR="00204BAD" w:rsidRDefault="00204BAD">
      <w:pPr>
        <w:suppressAutoHyphens w:val="0"/>
        <w:autoSpaceDE w:val="0"/>
        <w:spacing w:after="0" w:line="240" w:lineRule="auto"/>
        <w:ind w:firstLine="708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>znečištěné</w:t>
      </w:r>
    </w:p>
    <w:p w:rsidR="00204BAD" w:rsidRDefault="00204BAD">
      <w:pPr>
        <w:numPr>
          <w:ilvl w:val="0"/>
          <w:numId w:val="4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 xml:space="preserve">Brzdové kapaliny a ostatní kapaliny z automobilů </w:t>
      </w:r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>v příslušných nádobách</w:t>
      </w:r>
    </w:p>
    <w:p w:rsidR="00204BAD" w:rsidRDefault="00204BAD">
      <w:pPr>
        <w:numPr>
          <w:ilvl w:val="0"/>
          <w:numId w:val="4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>Nemrznoucí kapaliny obsahující nebezpečné látky</w:t>
      </w:r>
    </w:p>
    <w:p w:rsidR="00204BAD" w:rsidRDefault="00204BAD">
      <w:pPr>
        <w:numPr>
          <w:ilvl w:val="0"/>
          <w:numId w:val="4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 xml:space="preserve">Detergenty (odmašťovadla) </w:t>
      </w:r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 xml:space="preserve">– stará mýdla a </w:t>
      </w:r>
      <w:proofErr w:type="gramStart"/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>čistící</w:t>
      </w:r>
      <w:proofErr w:type="gramEnd"/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 xml:space="preserve"> prostředky</w:t>
      </w:r>
    </w:p>
    <w:p w:rsidR="00204BAD" w:rsidRDefault="00204BAD">
      <w:pPr>
        <w:numPr>
          <w:ilvl w:val="0"/>
          <w:numId w:val="4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 xml:space="preserve">Nepoužitá léčiva </w:t>
      </w:r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>(staré léky)</w:t>
      </w:r>
    </w:p>
    <w:p w:rsidR="00204BAD" w:rsidRDefault="00204BAD">
      <w:pPr>
        <w:numPr>
          <w:ilvl w:val="0"/>
          <w:numId w:val="4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>Olověné akumulátory</w:t>
      </w:r>
    </w:p>
    <w:p w:rsidR="00204BAD" w:rsidRDefault="00204BAD">
      <w:pPr>
        <w:numPr>
          <w:ilvl w:val="0"/>
          <w:numId w:val="4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>Baterie včetně autobaterií</w:t>
      </w:r>
    </w:p>
    <w:p w:rsidR="00204BAD" w:rsidRDefault="00204BAD">
      <w:pPr>
        <w:numPr>
          <w:ilvl w:val="0"/>
          <w:numId w:val="4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>Zářivky a jiný odpad obsahující rtuť</w:t>
      </w:r>
    </w:p>
    <w:p w:rsidR="00204BAD" w:rsidRDefault="00204BAD">
      <w:pPr>
        <w:numPr>
          <w:ilvl w:val="0"/>
          <w:numId w:val="4"/>
        </w:numPr>
        <w:suppressAutoHyphens w:val="0"/>
        <w:autoSpaceDE w:val="0"/>
        <w:spacing w:after="0" w:line="240" w:lineRule="auto"/>
      </w:pPr>
      <w:r>
        <w:rPr>
          <w:rFonts w:ascii="Bookman Old Style" w:hAnsi="Bookman Old Style" w:cs="TeXGyreBonum-Bold"/>
          <w:b/>
          <w:bCs/>
          <w:color w:val="00000A"/>
          <w:sz w:val="24"/>
          <w:szCs w:val="24"/>
          <w:lang w:eastAsia="cs-CZ"/>
        </w:rPr>
        <w:t>Vyřazená zařízení domácího chlazení, vyřazená elektrická a elektronická zařízení ostatní</w:t>
      </w:r>
    </w:p>
    <w:p w:rsidR="00204BAD" w:rsidRDefault="00204BAD">
      <w:pPr>
        <w:suppressAutoHyphens w:val="0"/>
        <w:autoSpaceDE w:val="0"/>
        <w:spacing w:after="0" w:line="240" w:lineRule="auto"/>
        <w:ind w:left="720"/>
      </w:pPr>
    </w:p>
    <w:p w:rsidR="00D6721E" w:rsidRPr="00D6721E" w:rsidRDefault="00D6721E" w:rsidP="00D6721E">
      <w:pPr>
        <w:suppressAutoHyphens w:val="0"/>
        <w:autoSpaceDE w:val="0"/>
        <w:spacing w:after="0" w:line="240" w:lineRule="auto"/>
        <w:jc w:val="both"/>
        <w:rPr>
          <w:b/>
          <w:color w:val="FF0000"/>
          <w:sz w:val="34"/>
          <w:szCs w:val="34"/>
          <w:u w:val="single"/>
        </w:rPr>
      </w:pPr>
      <w:r w:rsidRPr="00D6721E">
        <w:rPr>
          <w:rFonts w:ascii="Bookman Old Style" w:hAnsi="Bookman Old Style" w:cs="TeXGyreBonum-Regular"/>
          <w:b/>
          <w:color w:val="FF0000"/>
          <w:sz w:val="34"/>
          <w:szCs w:val="34"/>
          <w:u w:val="single"/>
          <w:lang w:eastAsia="cs-CZ"/>
        </w:rPr>
        <w:t>Na stejné místo bude možné uložit i velkoobjemový odpad</w:t>
      </w:r>
    </w:p>
    <w:p w:rsidR="00D6721E" w:rsidRDefault="00D6721E">
      <w:pPr>
        <w:suppressAutoHyphens w:val="0"/>
        <w:autoSpaceDE w:val="0"/>
        <w:spacing w:after="0" w:line="240" w:lineRule="auto"/>
        <w:ind w:left="720"/>
      </w:pPr>
    </w:p>
    <w:p w:rsidR="00204BAD" w:rsidRDefault="00204BAD">
      <w:pPr>
        <w:suppressAutoHyphens w:val="0"/>
        <w:autoSpaceDE w:val="0"/>
        <w:spacing w:after="0" w:line="240" w:lineRule="auto"/>
        <w:jc w:val="both"/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</w:pPr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>Na dočasné sběrné místo je možno umístit pouze výše uvedené od</w:t>
      </w:r>
      <w:r w:rsidR="00137171"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 xml:space="preserve">pady od obyvatel </w:t>
      </w:r>
      <w:r w:rsidR="00657362"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 xml:space="preserve">(fyzických osob) </w:t>
      </w:r>
      <w:r w:rsidR="00137171"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>žijících v obcích patřících k městysi Žinkovy</w:t>
      </w:r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 xml:space="preserve">, nikoliv </w:t>
      </w:r>
      <w:bookmarkStart w:id="0" w:name="_GoBack"/>
      <w:bookmarkEnd w:id="0"/>
      <w:r>
        <w:rPr>
          <w:rFonts w:ascii="Bookman Old Style" w:hAnsi="Bookman Old Style" w:cs="TeXGyreBonum-Regular"/>
          <w:color w:val="00000A"/>
          <w:sz w:val="24"/>
          <w:szCs w:val="24"/>
          <w:lang w:eastAsia="cs-CZ"/>
        </w:rPr>
        <w:t>vyprodukované z podnikatelské činnosti!</w:t>
      </w:r>
    </w:p>
    <w:p w:rsidR="006F0A0C" w:rsidRPr="00CE71C3" w:rsidRDefault="006F0A0C">
      <w:pPr>
        <w:suppressAutoHyphens w:val="0"/>
        <w:autoSpaceDE w:val="0"/>
        <w:spacing w:after="0" w:line="240" w:lineRule="auto"/>
        <w:jc w:val="both"/>
        <w:rPr>
          <w:b/>
          <w:color w:val="FF0000"/>
          <w:u w:val="single"/>
        </w:rPr>
      </w:pPr>
    </w:p>
    <w:sectPr w:rsidR="006F0A0C" w:rsidRPr="00CE71C3" w:rsidSect="006F0A0C">
      <w:pgSz w:w="11906" w:h="16838"/>
      <w:pgMar w:top="284" w:right="567" w:bottom="284" w:left="56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eXGyreBonum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Bonum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A"/>
        <w:kern w:val="1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A"/>
        <w:kern w:val="1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7D"/>
    <w:rsid w:val="00137171"/>
    <w:rsid w:val="001F0C2A"/>
    <w:rsid w:val="00204BAD"/>
    <w:rsid w:val="002671EB"/>
    <w:rsid w:val="00304D98"/>
    <w:rsid w:val="004940AC"/>
    <w:rsid w:val="005035EB"/>
    <w:rsid w:val="00592C5D"/>
    <w:rsid w:val="00657362"/>
    <w:rsid w:val="006F0A0C"/>
    <w:rsid w:val="00775868"/>
    <w:rsid w:val="00874C58"/>
    <w:rsid w:val="009704B9"/>
    <w:rsid w:val="00A2392B"/>
    <w:rsid w:val="00B109D8"/>
    <w:rsid w:val="00B80F7D"/>
    <w:rsid w:val="00B85D93"/>
    <w:rsid w:val="00B95C0B"/>
    <w:rsid w:val="00CE71C3"/>
    <w:rsid w:val="00D3067A"/>
    <w:rsid w:val="00D6721E"/>
    <w:rsid w:val="00E079DC"/>
    <w:rsid w:val="00F36B4F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 w:line="252" w:lineRule="auto"/>
    </w:pPr>
    <w:rPr>
      <w:rFonts w:ascii="Calibri" w:hAnsi="Calibri"/>
      <w:kern w:val="1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1"/>
    <w:uiPriority w:val="9"/>
    <w:qFormat/>
    <w:pPr>
      <w:keepNext/>
      <w:numPr>
        <w:numId w:val="1"/>
      </w:numPr>
      <w:suppressAutoHyphens w:val="0"/>
      <w:spacing w:before="240" w:after="60" w:line="240" w:lineRule="auto"/>
      <w:outlineLvl w:val="0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"/>
    <w:rsid w:val="003A152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rPr>
      <w:rFonts w:ascii="Wingdings" w:hAnsi="Wingdings"/>
      <w:color w:val="00000A"/>
      <w:kern w:val="1"/>
      <w:sz w:val="24"/>
      <w:lang w:eastAsia="cs-CZ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000A"/>
      <w:kern w:val="1"/>
      <w:sz w:val="24"/>
      <w:lang w:eastAsia="cs-CZ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DefaultParagraphFont1">
    <w:name w:val="Default Paragraph Font1"/>
  </w:style>
  <w:style w:type="character" w:customStyle="1" w:styleId="Nadpis1Char">
    <w:name w:val="Nadpis 1 Char"/>
    <w:rPr>
      <w:rFonts w:ascii="Arial" w:hAnsi="Arial"/>
      <w:b/>
      <w:kern w:val="1"/>
      <w:sz w:val="28"/>
    </w:rPr>
  </w:style>
  <w:style w:type="character" w:customStyle="1" w:styleId="NzevChar">
    <w:name w:val="Název Char"/>
    <w:rPr>
      <w:rFonts w:ascii="Arial" w:hAnsi="Arial"/>
      <w:sz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3A152D"/>
    <w:rPr>
      <w:rFonts w:ascii="Calibri" w:hAnsi="Calibri"/>
      <w:kern w:val="1"/>
      <w:sz w:val="22"/>
      <w:szCs w:val="22"/>
      <w:lang w:eastAsia="zh-CN"/>
    </w:rPr>
  </w:style>
  <w:style w:type="paragraph" w:styleId="Seznam">
    <w:name w:val="List"/>
    <w:basedOn w:val="Zkladntext"/>
    <w:uiPriority w:val="99"/>
    <w:rPr>
      <w:rFonts w:ascii="Arial" w:hAnsi="Arial" w:cs="FreeSan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Free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Nzev">
    <w:name w:val="Title"/>
    <w:basedOn w:val="Normln"/>
    <w:next w:val="Zkladntext"/>
    <w:link w:val="NzevChar1"/>
    <w:uiPriority w:val="10"/>
    <w:qFormat/>
    <w:pPr>
      <w:suppressAutoHyphens w:val="0"/>
      <w:spacing w:after="0" w:line="240" w:lineRule="auto"/>
      <w:jc w:val="center"/>
    </w:pPr>
    <w:rPr>
      <w:rFonts w:ascii="Arial" w:hAnsi="Arial"/>
      <w:sz w:val="32"/>
      <w:szCs w:val="20"/>
    </w:rPr>
  </w:style>
  <w:style w:type="character" w:customStyle="1" w:styleId="NzevChar1">
    <w:name w:val="Název Char1"/>
    <w:link w:val="Nzev"/>
    <w:uiPriority w:val="10"/>
    <w:rsid w:val="003A152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 w:line="252" w:lineRule="auto"/>
    </w:pPr>
    <w:rPr>
      <w:rFonts w:ascii="Calibri" w:hAnsi="Calibri"/>
      <w:kern w:val="1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1"/>
    <w:uiPriority w:val="9"/>
    <w:qFormat/>
    <w:pPr>
      <w:keepNext/>
      <w:numPr>
        <w:numId w:val="1"/>
      </w:numPr>
      <w:suppressAutoHyphens w:val="0"/>
      <w:spacing w:before="240" w:after="60" w:line="240" w:lineRule="auto"/>
      <w:outlineLvl w:val="0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"/>
    <w:rsid w:val="003A152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rPr>
      <w:rFonts w:ascii="Wingdings" w:hAnsi="Wingdings"/>
      <w:color w:val="00000A"/>
      <w:kern w:val="1"/>
      <w:sz w:val="24"/>
      <w:lang w:eastAsia="cs-CZ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000A"/>
      <w:kern w:val="1"/>
      <w:sz w:val="24"/>
      <w:lang w:eastAsia="cs-CZ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DefaultParagraphFont1">
    <w:name w:val="Default Paragraph Font1"/>
  </w:style>
  <w:style w:type="character" w:customStyle="1" w:styleId="Nadpis1Char">
    <w:name w:val="Nadpis 1 Char"/>
    <w:rPr>
      <w:rFonts w:ascii="Arial" w:hAnsi="Arial"/>
      <w:b/>
      <w:kern w:val="1"/>
      <w:sz w:val="28"/>
    </w:rPr>
  </w:style>
  <w:style w:type="character" w:customStyle="1" w:styleId="NzevChar">
    <w:name w:val="Název Char"/>
    <w:rPr>
      <w:rFonts w:ascii="Arial" w:hAnsi="Arial"/>
      <w:sz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3A152D"/>
    <w:rPr>
      <w:rFonts w:ascii="Calibri" w:hAnsi="Calibri"/>
      <w:kern w:val="1"/>
      <w:sz w:val="22"/>
      <w:szCs w:val="22"/>
      <w:lang w:eastAsia="zh-CN"/>
    </w:rPr>
  </w:style>
  <w:style w:type="paragraph" w:styleId="Seznam">
    <w:name w:val="List"/>
    <w:basedOn w:val="Zkladntext"/>
    <w:uiPriority w:val="99"/>
    <w:rPr>
      <w:rFonts w:ascii="Arial" w:hAnsi="Arial" w:cs="FreeSan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Free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Nzev">
    <w:name w:val="Title"/>
    <w:basedOn w:val="Normln"/>
    <w:next w:val="Zkladntext"/>
    <w:link w:val="NzevChar1"/>
    <w:uiPriority w:val="10"/>
    <w:qFormat/>
    <w:pPr>
      <w:suppressAutoHyphens w:val="0"/>
      <w:spacing w:after="0" w:line="240" w:lineRule="auto"/>
      <w:jc w:val="center"/>
    </w:pPr>
    <w:rPr>
      <w:rFonts w:ascii="Arial" w:hAnsi="Arial"/>
      <w:sz w:val="32"/>
      <w:szCs w:val="20"/>
    </w:rPr>
  </w:style>
  <w:style w:type="character" w:customStyle="1" w:styleId="NzevChar1">
    <w:name w:val="Název Char1"/>
    <w:link w:val="Nzev"/>
    <w:uiPriority w:val="10"/>
    <w:rsid w:val="003A152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okresu Plzeň – jih pro odpadové hospodářství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okresu Plzeň – jih pro odpadové hospodářství</dc:title>
  <dc:creator>Uctarna</dc:creator>
  <cp:lastModifiedBy>Jitka Lásková</cp:lastModifiedBy>
  <cp:revision>4</cp:revision>
  <cp:lastPrinted>2021-05-28T08:20:00Z</cp:lastPrinted>
  <dcterms:created xsi:type="dcterms:W3CDTF">2022-03-15T09:04:00Z</dcterms:created>
  <dcterms:modified xsi:type="dcterms:W3CDTF">2022-03-21T12:38:00Z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